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B1" w:rsidRPr="007E6B93" w:rsidRDefault="00E771B1" w:rsidP="00E771B1">
      <w:pPr>
        <w:spacing w:after="120" w:line="240" w:lineRule="auto"/>
        <w:jc w:val="center"/>
        <w:rPr>
          <w:b/>
        </w:rPr>
      </w:pPr>
      <w:r w:rsidRPr="007E6B93">
        <w:rPr>
          <w:b/>
        </w:rPr>
        <w:t>African Studies Association of Australasia and the Pacific</w:t>
      </w:r>
    </w:p>
    <w:p w:rsidR="007E6B93" w:rsidRPr="007E6B93" w:rsidRDefault="007E6B93" w:rsidP="007E6B93">
      <w:pPr>
        <w:jc w:val="center"/>
        <w:rPr>
          <w:b/>
          <w:sz w:val="28"/>
        </w:rPr>
      </w:pPr>
      <w:r w:rsidRPr="007E6B93">
        <w:rPr>
          <w:b/>
          <w:sz w:val="28"/>
        </w:rPr>
        <w:t>Application for sponsorship</w:t>
      </w:r>
      <w:r w:rsidR="00E771B1">
        <w:rPr>
          <w:b/>
          <w:sz w:val="28"/>
        </w:rPr>
        <w:br/>
      </w:r>
      <w:r w:rsidRPr="007E6B93">
        <w:rPr>
          <w:b/>
          <w:sz w:val="28"/>
        </w:rPr>
        <w:t>African studies reading group</w:t>
      </w:r>
    </w:p>
    <w:p w:rsidR="007E6B93" w:rsidRDefault="007E6B93">
      <w:r>
        <w:t>AFSAAP are proud to be able to offer a small amount of sponsorship to provide tea, coffee and snacks, and limited purchase of books, for African Studies Reading Groups at universities across Australia and New Zealand.</w:t>
      </w:r>
    </w:p>
    <w:p w:rsidR="007E6B93" w:rsidRDefault="007E6B93">
      <w:r>
        <w:t>Conditions of application:</w:t>
      </w:r>
    </w:p>
    <w:p w:rsidR="007E6B93" w:rsidRDefault="007E6B93" w:rsidP="007E6B93">
      <w:pPr>
        <w:pStyle w:val="ListParagraph"/>
        <w:numPr>
          <w:ilvl w:val="0"/>
          <w:numId w:val="1"/>
        </w:numPr>
      </w:pPr>
      <w:r>
        <w:t>-in order to apply for financial sponsorship, the reading group must have already held two sessions.</w:t>
      </w:r>
    </w:p>
    <w:p w:rsidR="007E6B93" w:rsidRDefault="007E6B93" w:rsidP="007E6B93">
      <w:r>
        <w:t>Conditions of sponsorship:</w:t>
      </w:r>
    </w:p>
    <w:p w:rsidR="007E6B93" w:rsidRDefault="007E6B93" w:rsidP="007E6B93">
      <w:pPr>
        <w:pStyle w:val="ListParagraph"/>
        <w:numPr>
          <w:ilvl w:val="0"/>
          <w:numId w:val="1"/>
        </w:numPr>
      </w:pPr>
      <w:r>
        <w:t>The group must be open to any interested participants at postgraduate level or higher, whether or not they are members of AFSAAP, and whether or not they are affiliated with the particular university.</w:t>
      </w:r>
    </w:p>
    <w:p w:rsidR="007E6B93" w:rsidRDefault="007E6B93" w:rsidP="007E6B93">
      <w:pPr>
        <w:pStyle w:val="ListParagraph"/>
        <w:numPr>
          <w:ilvl w:val="0"/>
          <w:numId w:val="1"/>
        </w:numPr>
      </w:pPr>
      <w:r>
        <w:t>The group must have a minimum of 4 members.</w:t>
      </w:r>
    </w:p>
    <w:p w:rsidR="007E6B93" w:rsidRDefault="007E6B93" w:rsidP="007E6B93">
      <w:pPr>
        <w:pStyle w:val="ListParagraph"/>
        <w:numPr>
          <w:ilvl w:val="0"/>
          <w:numId w:val="1"/>
        </w:numPr>
      </w:pPr>
      <w:r>
        <w:t>Undergraduate members can be involved if the group agrees</w:t>
      </w:r>
    </w:p>
    <w:p w:rsidR="007E6B93" w:rsidRDefault="007E6B93" w:rsidP="007E6B93">
      <w:pPr>
        <w:pStyle w:val="ListParagraph"/>
        <w:numPr>
          <w:ilvl w:val="0"/>
          <w:numId w:val="1"/>
        </w:numPr>
      </w:pPr>
      <w:r>
        <w:t>Members of the reading group should be encouraged to join AFSAAP if not already a member.</w:t>
      </w:r>
    </w:p>
    <w:p w:rsidR="007E6B93" w:rsidRDefault="007E6B93" w:rsidP="007E6B93">
      <w:pPr>
        <w:pStyle w:val="ListParagraph"/>
        <w:numPr>
          <w:ilvl w:val="0"/>
          <w:numId w:val="1"/>
        </w:numPr>
      </w:pPr>
      <w:r>
        <w:t>The convenor of the group must be a member of AFSAAP.</w:t>
      </w:r>
    </w:p>
    <w:p w:rsidR="007E6B93" w:rsidRDefault="007E6B93" w:rsidP="007E6B93">
      <w:pPr>
        <w:pStyle w:val="ListParagraph"/>
        <w:numPr>
          <w:ilvl w:val="0"/>
          <w:numId w:val="1"/>
        </w:numPr>
      </w:pPr>
      <w:r>
        <w:t>Any books purchased with AFSAAP funds remain the property of AFSAAP, and once they have been read must be made available to other reading groups.</w:t>
      </w:r>
    </w:p>
    <w:p w:rsidR="007E6B93" w:rsidRDefault="007E6B93" w:rsidP="007E6B93">
      <w:pPr>
        <w:pStyle w:val="ListParagraph"/>
        <w:numPr>
          <w:ilvl w:val="0"/>
          <w:numId w:val="1"/>
        </w:numPr>
      </w:pPr>
      <w:r>
        <w:t>No books are to be purchased without first consulting with the AFSAAP secretary to check we do not already own a set of the proposed title.</w:t>
      </w:r>
    </w:p>
    <w:p w:rsidR="007E6B93" w:rsidRDefault="007E6B93" w:rsidP="007E6B93">
      <w:pPr>
        <w:pStyle w:val="ListParagraph"/>
        <w:numPr>
          <w:ilvl w:val="0"/>
          <w:numId w:val="1"/>
        </w:numPr>
      </w:pPr>
      <w:r>
        <w:t>In the first year of the group, only one book (x 6 to 10 copies) may be purchased.</w:t>
      </w:r>
    </w:p>
    <w:p w:rsidR="007E6B93" w:rsidRDefault="00C070B6" w:rsidP="007E6B93">
      <w:pPr>
        <w:pStyle w:val="ListParagraph"/>
        <w:numPr>
          <w:ilvl w:val="0"/>
          <w:numId w:val="1"/>
        </w:numPr>
      </w:pPr>
      <w:r>
        <w:t>Tea/Coffee/Snacks costs limited to a total of AU$50 per year.</w:t>
      </w:r>
    </w:p>
    <w:p w:rsidR="003709A3" w:rsidRDefault="003709A3" w:rsidP="007E6B93">
      <w:pPr>
        <w:pStyle w:val="ListParagraph"/>
        <w:numPr>
          <w:ilvl w:val="0"/>
          <w:numId w:val="1"/>
        </w:numPr>
      </w:pPr>
      <w:r>
        <w:t>Support is for the period of one academic year, and it must be re-applied for each year.</w:t>
      </w:r>
    </w:p>
    <w:p w:rsidR="003709A3" w:rsidRDefault="003709A3" w:rsidP="007E6B93">
      <w:pPr>
        <w:pStyle w:val="ListParagraph"/>
        <w:numPr>
          <w:ilvl w:val="0"/>
          <w:numId w:val="1"/>
        </w:numPr>
      </w:pPr>
      <w:r>
        <w:t>A report of activities must be submitted at the end of the year to the AFSAAP Executive (this will be used, in part, to judge applications for support that are lodged in the following year).</w:t>
      </w:r>
    </w:p>
    <w:p w:rsidR="00F660CA" w:rsidRDefault="00F660CA" w:rsidP="007E6B93">
      <w:pPr>
        <w:pStyle w:val="ListParagraph"/>
        <w:numPr>
          <w:ilvl w:val="0"/>
          <w:numId w:val="1"/>
        </w:numPr>
      </w:pPr>
      <w:r>
        <w:t>Groups should consider writing a book review for publication in the Australasian Review of African Studies.</w:t>
      </w:r>
    </w:p>
    <w:p w:rsidR="007E6B93" w:rsidRDefault="007E6B93" w:rsidP="007E6B93">
      <w:r>
        <w:t xml:space="preserve">For ideas for texts to read, or formats of different kinds of reading groups, please see </w:t>
      </w:r>
      <w:hyperlink r:id="rId9" w:history="1">
        <w:r w:rsidRPr="00A42B49">
          <w:rPr>
            <w:rStyle w:val="Hyperlink"/>
          </w:rPr>
          <w:t>www.afsaap.org.au/resources/reading</w:t>
        </w:r>
      </w:hyperlink>
      <w:r>
        <w:t xml:space="preserve"> groups (TBC)</w:t>
      </w:r>
    </w:p>
    <w:p w:rsidR="007E6B93" w:rsidRDefault="007E6B93" w:rsidP="007E6B93">
      <w:r>
        <w:t>To apply for sponsorship, please complete the form below and email it to secretary@afsaap.org.au</w:t>
      </w:r>
    </w:p>
    <w:p w:rsidR="007E6B93" w:rsidRDefault="007E6B93" w:rsidP="007E6B93">
      <w:pPr>
        <w:pStyle w:val="ListParagraph"/>
      </w:pPr>
      <w:r>
        <w:br w:type="page"/>
      </w:r>
    </w:p>
    <w:p w:rsidR="007E6B93" w:rsidRPr="007E6B93" w:rsidRDefault="007E6B93" w:rsidP="00E771B1">
      <w:pPr>
        <w:spacing w:after="120" w:line="240" w:lineRule="auto"/>
        <w:jc w:val="center"/>
        <w:rPr>
          <w:b/>
        </w:rPr>
      </w:pPr>
      <w:r w:rsidRPr="007E6B93">
        <w:rPr>
          <w:b/>
        </w:rPr>
        <w:lastRenderedPageBreak/>
        <w:t>African Studies Association of Australasia and the Pacific</w:t>
      </w:r>
    </w:p>
    <w:p w:rsidR="007E6B93" w:rsidRPr="007E6B93" w:rsidRDefault="007E6B93" w:rsidP="007E6B93">
      <w:pPr>
        <w:jc w:val="center"/>
        <w:rPr>
          <w:b/>
          <w:sz w:val="28"/>
        </w:rPr>
      </w:pPr>
      <w:r w:rsidRPr="007E6B93">
        <w:rPr>
          <w:b/>
          <w:sz w:val="28"/>
        </w:rPr>
        <w:t>Application for sponsorship</w:t>
      </w:r>
      <w:r w:rsidR="00E771B1">
        <w:rPr>
          <w:b/>
          <w:sz w:val="28"/>
        </w:rPr>
        <w:br/>
      </w:r>
      <w:r w:rsidRPr="007E6B93">
        <w:rPr>
          <w:b/>
          <w:sz w:val="28"/>
        </w:rPr>
        <w:t>African studies reading group</w:t>
      </w:r>
    </w:p>
    <w:tbl>
      <w:tblPr>
        <w:tblStyle w:val="TableGrid"/>
        <w:tblW w:w="0" w:type="auto"/>
        <w:tblLook w:val="04A0" w:firstRow="1" w:lastRow="0" w:firstColumn="1" w:lastColumn="0" w:noHBand="0" w:noVBand="1"/>
      </w:tblPr>
      <w:tblGrid>
        <w:gridCol w:w="3227"/>
        <w:gridCol w:w="2835"/>
        <w:gridCol w:w="2977"/>
      </w:tblGrid>
      <w:tr w:rsidR="007E6B93" w:rsidRPr="007E6B93" w:rsidTr="00C070B6">
        <w:tc>
          <w:tcPr>
            <w:tcW w:w="3227" w:type="dxa"/>
          </w:tcPr>
          <w:p w:rsidR="007E6B93" w:rsidRPr="00E771B1" w:rsidRDefault="00E771B1" w:rsidP="007E6B93">
            <w:pPr>
              <w:spacing w:before="60" w:after="60"/>
              <w:rPr>
                <w:b/>
              </w:rPr>
            </w:pPr>
            <w:r w:rsidRPr="00E771B1">
              <w:rPr>
                <w:b/>
              </w:rPr>
              <w:t xml:space="preserve">Convenor’s </w:t>
            </w:r>
            <w:r w:rsidR="007E6B93" w:rsidRPr="00E771B1">
              <w:rPr>
                <w:b/>
              </w:rPr>
              <w:t>name:</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Position:</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School or Centre:</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University:</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City:</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Contact email:</w:t>
            </w:r>
          </w:p>
        </w:tc>
        <w:tc>
          <w:tcPr>
            <w:tcW w:w="5812" w:type="dxa"/>
            <w:gridSpan w:val="2"/>
          </w:tcPr>
          <w:p w:rsidR="007E6B93" w:rsidRPr="007E6B93" w:rsidRDefault="007E6B93" w:rsidP="007E6B93">
            <w:pPr>
              <w:spacing w:before="60" w:after="60"/>
            </w:pPr>
          </w:p>
        </w:tc>
      </w:tr>
      <w:tr w:rsidR="007E6B93" w:rsidRPr="007E6B93" w:rsidTr="00C070B6">
        <w:tc>
          <w:tcPr>
            <w:tcW w:w="3227" w:type="dxa"/>
          </w:tcPr>
          <w:p w:rsidR="007E6B93" w:rsidRPr="00E771B1" w:rsidRDefault="007E6B93" w:rsidP="007E6B93">
            <w:pPr>
              <w:spacing w:before="60" w:after="60"/>
              <w:rPr>
                <w:b/>
              </w:rPr>
            </w:pPr>
            <w:r w:rsidRPr="00E771B1">
              <w:rPr>
                <w:b/>
              </w:rPr>
              <w:t>Contact phone number:</w:t>
            </w:r>
          </w:p>
        </w:tc>
        <w:tc>
          <w:tcPr>
            <w:tcW w:w="5812" w:type="dxa"/>
            <w:gridSpan w:val="2"/>
          </w:tcPr>
          <w:p w:rsidR="007E6B93" w:rsidRPr="007E6B93" w:rsidRDefault="007E6B93" w:rsidP="007E6B93">
            <w:pPr>
              <w:spacing w:before="60" w:after="60"/>
            </w:pPr>
          </w:p>
        </w:tc>
      </w:tr>
      <w:tr w:rsidR="00E771B1" w:rsidRPr="007E6B93" w:rsidTr="00C070B6">
        <w:tc>
          <w:tcPr>
            <w:tcW w:w="3227" w:type="dxa"/>
            <w:vMerge w:val="restart"/>
          </w:tcPr>
          <w:p w:rsidR="00E771B1" w:rsidRPr="00E771B1" w:rsidRDefault="00E771B1" w:rsidP="007E6B93">
            <w:pPr>
              <w:spacing w:before="60" w:after="60"/>
              <w:rPr>
                <w:b/>
              </w:rPr>
            </w:pPr>
            <w:r w:rsidRPr="00E771B1">
              <w:rPr>
                <w:b/>
              </w:rPr>
              <w:t>Proposed members:</w:t>
            </w:r>
          </w:p>
        </w:tc>
        <w:tc>
          <w:tcPr>
            <w:tcW w:w="2835" w:type="dxa"/>
          </w:tcPr>
          <w:p w:rsidR="00E771B1" w:rsidRPr="007E6B93" w:rsidRDefault="00E771B1" w:rsidP="007E6B93">
            <w:pPr>
              <w:spacing w:before="60" w:after="60"/>
            </w:pPr>
            <w:r>
              <w:t>Name</w:t>
            </w:r>
          </w:p>
        </w:tc>
        <w:tc>
          <w:tcPr>
            <w:tcW w:w="2977" w:type="dxa"/>
          </w:tcPr>
          <w:p w:rsidR="00E771B1" w:rsidRPr="007E6B93" w:rsidRDefault="00E771B1" w:rsidP="007E6B93">
            <w:pPr>
              <w:spacing w:before="60" w:after="60"/>
            </w:pPr>
            <w:r>
              <w:t>AFSAAP member? (Y/N)</w:t>
            </w: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E771B1" w:rsidRPr="007E6B93" w:rsidTr="00C070B6">
        <w:tc>
          <w:tcPr>
            <w:tcW w:w="3227" w:type="dxa"/>
            <w:vMerge/>
          </w:tcPr>
          <w:p w:rsidR="00E771B1" w:rsidRPr="007E6B93" w:rsidRDefault="00E771B1" w:rsidP="007E6B93">
            <w:pPr>
              <w:spacing w:before="60" w:after="60"/>
            </w:pPr>
          </w:p>
        </w:tc>
        <w:tc>
          <w:tcPr>
            <w:tcW w:w="2835" w:type="dxa"/>
          </w:tcPr>
          <w:p w:rsidR="00E771B1" w:rsidRPr="007E6B93" w:rsidRDefault="00E771B1" w:rsidP="007E6B93">
            <w:pPr>
              <w:spacing w:before="60" w:after="60"/>
            </w:pPr>
          </w:p>
        </w:tc>
        <w:tc>
          <w:tcPr>
            <w:tcW w:w="2977" w:type="dxa"/>
          </w:tcPr>
          <w:p w:rsidR="00E771B1" w:rsidRPr="007E6B93" w:rsidRDefault="00E771B1" w:rsidP="007E6B93">
            <w:pPr>
              <w:spacing w:before="60" w:after="60"/>
            </w:pPr>
          </w:p>
        </w:tc>
      </w:tr>
      <w:tr w:rsidR="007E6B93" w:rsidRPr="007E6B93" w:rsidTr="00C070B6">
        <w:tc>
          <w:tcPr>
            <w:tcW w:w="3227" w:type="dxa"/>
          </w:tcPr>
          <w:p w:rsidR="007E6B93" w:rsidRPr="007E6B93" w:rsidRDefault="007E6B93" w:rsidP="00E771B1">
            <w:pPr>
              <w:spacing w:before="60" w:after="60"/>
            </w:pPr>
            <w:r w:rsidRPr="00E771B1">
              <w:rPr>
                <w:b/>
              </w:rPr>
              <w:t>Proposed meeting schedule</w:t>
            </w:r>
            <w:r w:rsidR="00E771B1">
              <w:rPr>
                <w:b/>
              </w:rPr>
              <w:t>:</w:t>
            </w:r>
            <w:r w:rsidRPr="00E771B1">
              <w:rPr>
                <w:b/>
              </w:rPr>
              <w:t xml:space="preserve"> </w:t>
            </w:r>
            <w:r w:rsidRPr="00E771B1">
              <w:rPr>
                <w:i/>
              </w:rPr>
              <w:t>(please indicate how often you will meet, and dates for the remainder of the year)</w:t>
            </w:r>
          </w:p>
        </w:tc>
        <w:tc>
          <w:tcPr>
            <w:tcW w:w="5812" w:type="dxa"/>
            <w:gridSpan w:val="2"/>
          </w:tcPr>
          <w:p w:rsidR="007E6B93" w:rsidRDefault="007E6B93" w:rsidP="007E6B93">
            <w:pPr>
              <w:spacing w:before="60" w:after="60"/>
            </w:pPr>
          </w:p>
          <w:p w:rsidR="007E6B93" w:rsidRDefault="007E6B93" w:rsidP="007E6B93">
            <w:pPr>
              <w:spacing w:before="60" w:after="60"/>
            </w:pPr>
          </w:p>
          <w:p w:rsidR="007E6B93" w:rsidRDefault="007E6B93" w:rsidP="007E6B93">
            <w:pPr>
              <w:spacing w:before="60" w:after="60"/>
            </w:pPr>
          </w:p>
          <w:p w:rsidR="007E6B93" w:rsidRPr="007E6B93" w:rsidRDefault="007E6B93" w:rsidP="007E6B93">
            <w:pPr>
              <w:spacing w:before="60" w:after="60"/>
            </w:pPr>
          </w:p>
        </w:tc>
      </w:tr>
      <w:tr w:rsidR="00657FF5" w:rsidRPr="007E6B93" w:rsidTr="00C070B6">
        <w:tc>
          <w:tcPr>
            <w:tcW w:w="3227" w:type="dxa"/>
          </w:tcPr>
          <w:p w:rsidR="00657FF5" w:rsidRPr="007E6B93" w:rsidRDefault="00657FF5" w:rsidP="007E6B93">
            <w:pPr>
              <w:spacing w:before="60" w:after="60"/>
            </w:pPr>
            <w:r w:rsidRPr="00E771B1">
              <w:rPr>
                <w:b/>
              </w:rPr>
              <w:t xml:space="preserve">Proposed texts / themes: </w:t>
            </w:r>
            <w:r w:rsidRPr="00657FF5">
              <w:rPr>
                <w:i/>
              </w:rPr>
              <w:t>(please indicate what kinds of books / articles you intend to the read, and the format of your group</w:t>
            </w:r>
            <w:r>
              <w:rPr>
                <w:i/>
              </w:rPr>
              <w:t>, e.g. meeting every 6 weeks, reading African philosophy texts such as Appiah’s ‘In My Father’s House’</w:t>
            </w:r>
            <w:r w:rsidRPr="00657FF5">
              <w:rPr>
                <w:i/>
              </w:rPr>
              <w:t>)</w:t>
            </w:r>
          </w:p>
        </w:tc>
        <w:tc>
          <w:tcPr>
            <w:tcW w:w="5812" w:type="dxa"/>
            <w:gridSpan w:val="2"/>
          </w:tcPr>
          <w:p w:rsidR="00657FF5" w:rsidRDefault="00657FF5" w:rsidP="007E6B93">
            <w:pPr>
              <w:spacing w:before="60" w:after="60"/>
            </w:pPr>
          </w:p>
        </w:tc>
      </w:tr>
      <w:tr w:rsidR="007E6B93" w:rsidRPr="007E6B93" w:rsidTr="00C070B6">
        <w:trPr>
          <w:trHeight w:val="1297"/>
        </w:trPr>
        <w:tc>
          <w:tcPr>
            <w:tcW w:w="3227" w:type="dxa"/>
          </w:tcPr>
          <w:p w:rsidR="007E6B93" w:rsidRPr="00E771B1" w:rsidRDefault="007E6B93" w:rsidP="007E6B93">
            <w:pPr>
              <w:spacing w:before="60" w:after="60"/>
              <w:rPr>
                <w:b/>
              </w:rPr>
            </w:pPr>
            <w:r w:rsidRPr="00E771B1">
              <w:rPr>
                <w:b/>
              </w:rPr>
              <w:t>Activity so far:</w:t>
            </w:r>
          </w:p>
          <w:p w:rsidR="007E6B93" w:rsidRPr="007E6B93" w:rsidRDefault="007E6B93" w:rsidP="007E6B93">
            <w:pPr>
              <w:spacing w:before="60" w:after="60"/>
              <w:rPr>
                <w:i/>
              </w:rPr>
            </w:pPr>
            <w:r w:rsidRPr="007E6B93">
              <w:rPr>
                <w:i/>
              </w:rPr>
              <w:t>Have you conducted 2 reading group sessions so far? Please provide dates, and names of attendees.</w:t>
            </w:r>
          </w:p>
        </w:tc>
        <w:tc>
          <w:tcPr>
            <w:tcW w:w="5812" w:type="dxa"/>
            <w:gridSpan w:val="2"/>
          </w:tcPr>
          <w:p w:rsidR="007E6B93" w:rsidRPr="007E6B93" w:rsidRDefault="007E6B93" w:rsidP="007E6B93">
            <w:pPr>
              <w:spacing w:before="60" w:after="60"/>
            </w:pPr>
          </w:p>
        </w:tc>
      </w:tr>
    </w:tbl>
    <w:p w:rsidR="007E6B93" w:rsidRDefault="007E6B93" w:rsidP="00C070B6">
      <w:bookmarkStart w:id="0" w:name="_GoBack"/>
      <w:bookmarkEnd w:id="0"/>
    </w:p>
    <w:sectPr w:rsidR="007E6B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89" w:rsidRDefault="00867D89" w:rsidP="00C070B6">
      <w:pPr>
        <w:spacing w:after="0" w:line="240" w:lineRule="auto"/>
      </w:pPr>
      <w:r>
        <w:separator/>
      </w:r>
    </w:p>
  </w:endnote>
  <w:endnote w:type="continuationSeparator" w:id="0">
    <w:p w:rsidR="00867D89" w:rsidRDefault="00867D89" w:rsidP="00C0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89" w:rsidRDefault="00867D89" w:rsidP="00C070B6">
      <w:pPr>
        <w:spacing w:after="0" w:line="240" w:lineRule="auto"/>
      </w:pPr>
      <w:r>
        <w:separator/>
      </w:r>
    </w:p>
  </w:footnote>
  <w:footnote w:type="continuationSeparator" w:id="0">
    <w:p w:rsidR="00867D89" w:rsidRDefault="00867D89" w:rsidP="00C07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B6" w:rsidRPr="00C070B6" w:rsidRDefault="00C070B6">
    <w:pPr>
      <w:pStyle w:val="Header"/>
      <w:rPr>
        <w:b/>
      </w:rPr>
    </w:pPr>
    <w:r w:rsidRPr="00C070B6">
      <w:rPr>
        <w:b/>
      </w:rPr>
      <w:t xml:space="preserve">African Studies Reading Group Application for Sponsorship – </w:t>
    </w:r>
  </w:p>
  <w:p w:rsidR="00C070B6" w:rsidRDefault="00C070B6">
    <w:pPr>
      <w:pStyle w:val="Header"/>
    </w:pPr>
    <w:r>
      <w:t>Last updated 12</w:t>
    </w:r>
    <w:r w:rsidRPr="00C070B6">
      <w:rPr>
        <w:vertAlign w:val="superscript"/>
      </w:rPr>
      <w:t>th</w:t>
    </w:r>
    <w:r>
      <w:t xml:space="preserve"> March 2017</w:t>
    </w:r>
  </w:p>
  <w:p w:rsidR="00C070B6" w:rsidRDefault="00C07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752"/>
    <w:multiLevelType w:val="hybridMultilevel"/>
    <w:tmpl w:val="6284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93"/>
    <w:rsid w:val="003709A3"/>
    <w:rsid w:val="00657FF5"/>
    <w:rsid w:val="007E6B93"/>
    <w:rsid w:val="00867D89"/>
    <w:rsid w:val="00BF714A"/>
    <w:rsid w:val="00C070B6"/>
    <w:rsid w:val="00E771B1"/>
    <w:rsid w:val="00F6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93"/>
    <w:pPr>
      <w:ind w:left="720"/>
      <w:contextualSpacing/>
    </w:pPr>
  </w:style>
  <w:style w:type="table" w:styleId="TableGrid">
    <w:name w:val="Table Grid"/>
    <w:basedOn w:val="TableNormal"/>
    <w:uiPriority w:val="59"/>
    <w:rsid w:val="007E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93"/>
    <w:rPr>
      <w:color w:val="0000FF" w:themeColor="hyperlink"/>
      <w:u w:val="single"/>
    </w:rPr>
  </w:style>
  <w:style w:type="paragraph" w:styleId="Header">
    <w:name w:val="header"/>
    <w:basedOn w:val="Normal"/>
    <w:link w:val="HeaderChar"/>
    <w:uiPriority w:val="99"/>
    <w:unhideWhenUsed/>
    <w:rsid w:val="00C07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B6"/>
  </w:style>
  <w:style w:type="paragraph" w:styleId="Footer">
    <w:name w:val="footer"/>
    <w:basedOn w:val="Normal"/>
    <w:link w:val="FooterChar"/>
    <w:uiPriority w:val="99"/>
    <w:unhideWhenUsed/>
    <w:rsid w:val="00C0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B6"/>
  </w:style>
  <w:style w:type="paragraph" w:styleId="BalloonText">
    <w:name w:val="Balloon Text"/>
    <w:basedOn w:val="Normal"/>
    <w:link w:val="BalloonTextChar"/>
    <w:uiPriority w:val="99"/>
    <w:semiHidden/>
    <w:unhideWhenUsed/>
    <w:rsid w:val="00C0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93"/>
    <w:pPr>
      <w:ind w:left="720"/>
      <w:contextualSpacing/>
    </w:pPr>
  </w:style>
  <w:style w:type="table" w:styleId="TableGrid">
    <w:name w:val="Table Grid"/>
    <w:basedOn w:val="TableNormal"/>
    <w:uiPriority w:val="59"/>
    <w:rsid w:val="007E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93"/>
    <w:rPr>
      <w:color w:val="0000FF" w:themeColor="hyperlink"/>
      <w:u w:val="single"/>
    </w:rPr>
  </w:style>
  <w:style w:type="paragraph" w:styleId="Header">
    <w:name w:val="header"/>
    <w:basedOn w:val="Normal"/>
    <w:link w:val="HeaderChar"/>
    <w:uiPriority w:val="99"/>
    <w:unhideWhenUsed/>
    <w:rsid w:val="00C07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B6"/>
  </w:style>
  <w:style w:type="paragraph" w:styleId="Footer">
    <w:name w:val="footer"/>
    <w:basedOn w:val="Normal"/>
    <w:link w:val="FooterChar"/>
    <w:uiPriority w:val="99"/>
    <w:unhideWhenUsed/>
    <w:rsid w:val="00C07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B6"/>
  </w:style>
  <w:style w:type="paragraph" w:styleId="BalloonText">
    <w:name w:val="Balloon Text"/>
    <w:basedOn w:val="Normal"/>
    <w:link w:val="BalloonTextChar"/>
    <w:uiPriority w:val="99"/>
    <w:semiHidden/>
    <w:unhideWhenUsed/>
    <w:rsid w:val="00C0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saap.org.au/resources/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C8C2-FACA-4A53-9819-22D5BD53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Tanya Lyons</cp:lastModifiedBy>
  <cp:revision>5</cp:revision>
  <dcterms:created xsi:type="dcterms:W3CDTF">2013-03-16T00:55:00Z</dcterms:created>
  <dcterms:modified xsi:type="dcterms:W3CDTF">2017-03-12T05:59:00Z</dcterms:modified>
</cp:coreProperties>
</file>